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360" w:lineRule="auto"/>
        <w:rPr>
          <w:rFonts w:hint="eastAsia"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>附件：</w:t>
      </w:r>
    </w:p>
    <w:p>
      <w:pPr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Tahoma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 w:cs="Tahoma"/>
          <w:kern w:val="0"/>
          <w:sz w:val="36"/>
          <w:szCs w:val="36"/>
        </w:rPr>
        <w:t>2016年娄底市食品药品监督管理局</w:t>
      </w:r>
      <w:r>
        <w:rPr>
          <w:rFonts w:hint="eastAsia" w:ascii="方正小标宋_GBK" w:hAnsi="宋体" w:eastAsia="方正小标宋_GBK" w:cs="Tahoma"/>
          <w:kern w:val="0"/>
          <w:sz w:val="36"/>
          <w:szCs w:val="36"/>
          <w:lang w:eastAsia="zh-CN"/>
        </w:rPr>
        <w:t>创文巩卫工作实施方案</w:t>
      </w:r>
      <w:r>
        <w:rPr>
          <w:rFonts w:hint="eastAsia" w:ascii="方正小标宋_GBK" w:hAnsi="宋体" w:eastAsia="方正小标宋_GBK" w:cs="Tahoma"/>
          <w:kern w:val="0"/>
          <w:sz w:val="36"/>
          <w:szCs w:val="36"/>
        </w:rPr>
        <w:t>工作任务分解表</w:t>
      </w:r>
    </w:p>
    <w:tbl>
      <w:tblPr>
        <w:tblStyle w:val="7"/>
        <w:tblW w:w="15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08"/>
        <w:gridCol w:w="1260"/>
        <w:gridCol w:w="898"/>
        <w:gridCol w:w="1255"/>
        <w:gridCol w:w="8761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8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Tahoma"/>
                <w:kern w:val="0"/>
                <w:sz w:val="24"/>
                <w:szCs w:val="24"/>
              </w:rPr>
              <w:t>组别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Tahoma"/>
                <w:kern w:val="0"/>
                <w:sz w:val="24"/>
                <w:szCs w:val="24"/>
              </w:rPr>
              <w:t>分管领导</w:t>
            </w:r>
          </w:p>
        </w:tc>
        <w:tc>
          <w:tcPr>
            <w:tcW w:w="89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Tahom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Tahoma"/>
                <w:kern w:val="0"/>
                <w:sz w:val="24"/>
                <w:szCs w:val="24"/>
              </w:rPr>
              <w:t>牵头科室</w:t>
            </w:r>
          </w:p>
        </w:tc>
        <w:tc>
          <w:tcPr>
            <w:tcW w:w="8761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Tahoma"/>
                <w:kern w:val="0"/>
                <w:sz w:val="24"/>
                <w:szCs w:val="24"/>
              </w:rPr>
              <w:t>任务分解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Tahoma"/>
                <w:kern w:val="0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局创建全国文明城市工作领导小组办公室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易清贤</w:t>
            </w:r>
          </w:p>
        </w:tc>
        <w:tc>
          <w:tcPr>
            <w:tcW w:w="89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肖辉明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8761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本局创建全国文明城市工作的日常事务；做好对外、对内的协调联络工作，做好后勤保障工作；牵头做好“食品安全宣传周”、“全国安全用药月”、“四小整规”，做好食品安全事故应急处理预案，并开展应急演练活动等重大活动的安排及创文的迎检工作。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各县市局（分局）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  <w:jc w:val="center"/>
        </w:trPr>
        <w:tc>
          <w:tcPr>
            <w:tcW w:w="76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局创建全国文明城市工作现场整治组</w:t>
            </w:r>
          </w:p>
        </w:tc>
        <w:tc>
          <w:tcPr>
            <w:tcW w:w="11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稽查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打假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举报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投诉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督导组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曾永平</w:t>
            </w:r>
          </w:p>
        </w:tc>
        <w:tc>
          <w:tcPr>
            <w:tcW w:w="89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仇复健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魏晓鹏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稽查支队</w:t>
            </w:r>
          </w:p>
        </w:tc>
        <w:tc>
          <w:tcPr>
            <w:tcW w:w="8761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1、推</w:t>
            </w:r>
            <w:r>
              <w:rPr>
                <w:rFonts w:hint="eastAsia"/>
                <w:spacing w:val="-4"/>
                <w:sz w:val="24"/>
                <w:szCs w:val="24"/>
              </w:rPr>
              <w:t>进覆盖全社会的征信系统建设，推进建立自然人、法人和其他社会组织统一信用代码制度，率先建立起完善的企业和从业人员信用记录；</w:t>
            </w:r>
          </w:p>
          <w:p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2、建立信用信息互联互通和交换共享的网络平台，信息记录动态更新，可实时查询；</w:t>
            </w:r>
          </w:p>
          <w:p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3、制定失信行为惩戒措施，建立联合惩戒机制，对失信违法者共同依法实施惩戒；</w:t>
            </w:r>
          </w:p>
          <w:p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4、公布举报投诉电话；</w:t>
            </w:r>
          </w:p>
          <w:p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5、形成打击假冒伪劣违法行为的监督、投诉和处置机制；</w:t>
            </w:r>
          </w:p>
          <w:p>
            <w:pPr>
              <w:adjustRightInd w:val="0"/>
              <w:snapToGrid w:val="0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6、无集中性、区域性的制造、销售假冒伪劣产商品的窝点和市场；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各县市局（分局）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6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食品生产、流通及餐饮服务督导组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唐孝礼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吴新建</w:t>
            </w:r>
          </w:p>
        </w:tc>
        <w:tc>
          <w:tcPr>
            <w:tcW w:w="89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李春容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熊海燕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贺学志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食品生产科、食品流通科、餐饮食品监管科</w:t>
            </w:r>
          </w:p>
        </w:tc>
        <w:tc>
          <w:tcPr>
            <w:tcW w:w="8761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1、组织开展“节俭养德”、“文明餐桌”等活动；</w:t>
            </w:r>
          </w:p>
          <w:p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2、整治中小学校周边环境常态化、效果实；校园周边取缔从事非法经营活动的游商和无证照摊点，无“三无食品”；</w:t>
            </w:r>
          </w:p>
          <w:p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3、食品生产经营单位取得有效生产经营证照，亮证经营；对小作坊、小摊点等监管规范有序；</w:t>
            </w: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4、从业人员持健康证明、食品安全知识培训证明上岗， “五病”调离率</w:t>
            </w:r>
            <w:r>
              <w:rPr>
                <w:sz w:val="24"/>
                <w:szCs w:val="24"/>
              </w:rPr>
              <w:t>100%;</w:t>
            </w:r>
          </w:p>
          <w:p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5、全面实施食品安全监督量化分级管理制度，餐饮单位量化分级覆盖率≥95%：</w:t>
            </w:r>
          </w:p>
          <w:p>
            <w:pPr>
              <w:adjustRightInd w:val="0"/>
              <w:snapToGrid w:val="0"/>
              <w:ind w:firstLine="570"/>
              <w:rPr>
                <w:rFonts w:hint="eastAsia"/>
                <w:spacing w:val="-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6、</w:t>
            </w:r>
            <w:r>
              <w:rPr>
                <w:rFonts w:hint="eastAsia"/>
                <w:spacing w:val="-8"/>
                <w:sz w:val="24"/>
                <w:szCs w:val="24"/>
              </w:rPr>
              <w:t>预防并及时查处在食品中添加非食用物质和滥用食品添加剂的行为；</w:t>
            </w:r>
          </w:p>
          <w:p>
            <w:pPr>
              <w:adjustRightInd w:val="0"/>
              <w:snapToGrid w:val="0"/>
              <w:ind w:firstLine="570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7、食品安全事故及时查处，无漏报、瞒报情况；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各县市局（分局）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6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药品、医疗器械及保化安全督导组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戴小勤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邹  涧</w:t>
            </w:r>
          </w:p>
        </w:tc>
        <w:tc>
          <w:tcPr>
            <w:tcW w:w="89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胡水明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袁利清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曾益清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聂如东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药品生产科、药品流通监管科、医疗器械监管科</w:t>
            </w:r>
          </w:p>
        </w:tc>
        <w:tc>
          <w:tcPr>
            <w:tcW w:w="8761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1、严格实施药品经营许可制度，规范药店经营行为，督促药品生产经营企业严格按照新版GMP、GSP要求组织生产经营；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2、严格按《医疗器械监督管理条例》巡查医疗器械市场，严厉打击制假售假的行为；</w:t>
            </w:r>
          </w:p>
          <w:p>
            <w:pPr>
              <w:adjustRightInd w:val="0"/>
              <w:snapToGrid w:val="0"/>
              <w:ind w:firstLine="57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3、公布举报电话，问题药械、保化产品得到及时查处；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4、在大型诊所、药店、化妆品批发店开展保健食品、化妆品集中检查，强化产品质量管理，发布消费警示，增强消费者安全意识。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各县市局（分局）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局创建全国文明城市工作宣传应急处置组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吴新建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易清贤</w:t>
            </w:r>
          </w:p>
        </w:tc>
        <w:tc>
          <w:tcPr>
            <w:tcW w:w="89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谭耀庄彭祥峰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办公室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、宣传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应急科</w:t>
            </w:r>
          </w:p>
        </w:tc>
        <w:tc>
          <w:tcPr>
            <w:tcW w:w="8761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1、负责文明创建期间发生的突发事件和不稳定事件的处置工作；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2、负责全局文明创建期间的宣传报道工作。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各县市局（分局）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10901"/>
    <w:rsid w:val="7271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link w:val="4"/>
    <w:semiHidden/>
    <w:uiPriority w:val="0"/>
    <w:rPr>
      <w:lang w:bidi="ar-SA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 Char"/>
    <w:next w:val="1"/>
    <w:link w:val="3"/>
    <w:uiPriority w:val="0"/>
    <w:pPr>
      <w:keepNext/>
      <w:keepLines/>
      <w:tabs>
        <w:tab w:val="left" w:pos="3780"/>
      </w:tabs>
      <w:spacing w:before="240" w:after="240"/>
      <w:ind w:left="3780" w:hanging="420"/>
      <w:outlineLvl w:val="7"/>
    </w:pPr>
    <w:rPr>
      <w:sz w:val="21"/>
      <w:szCs w:val="22"/>
      <w:lang w:bidi="ar-SA"/>
    </w:rPr>
  </w:style>
  <w:style w:type="character" w:styleId="5">
    <w:name w:val="page number"/>
    <w:basedOn w:val="3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2017-07-19T03:23:00Z</dcterms:created>
  <dc:creator>qwq</dc:creator>
  <cp:lastModifiedBy>qwq</cp:lastModifiedBy>
  <dcterms:modified xsi:type="dcterms:W3CDTF">2017-07-19T03:31:14Z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